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F40" w:rsidRDefault="00D42F40" w:rsidP="00D42F40">
      <w:pPr>
        <w:spacing w:after="0"/>
        <w:ind w:right="-24"/>
        <w:jc w:val="center"/>
        <w:rPr>
          <w:rFonts w:ascii="Candara" w:hAnsi="Candara"/>
          <w:b/>
          <w:sz w:val="36"/>
          <w:szCs w:val="24"/>
        </w:rPr>
      </w:pPr>
      <w:bookmarkStart w:id="0" w:name="_Hlk533059697"/>
      <w:r w:rsidRPr="00E8026E">
        <w:rPr>
          <w:rFonts w:ascii="Candara" w:hAnsi="Candara"/>
          <w:b/>
          <w:sz w:val="36"/>
          <w:szCs w:val="24"/>
        </w:rPr>
        <w:t>Pressemitteilung</w:t>
      </w:r>
    </w:p>
    <w:p w:rsidR="00D42F40" w:rsidRPr="00E8026E" w:rsidRDefault="00D42F40" w:rsidP="00D42F40">
      <w:pPr>
        <w:spacing w:after="0"/>
        <w:ind w:right="-24"/>
        <w:rPr>
          <w:rFonts w:ascii="Candara" w:hAnsi="Candara"/>
          <w:b/>
          <w:sz w:val="16"/>
          <w:szCs w:val="24"/>
        </w:rPr>
      </w:pPr>
      <w:r w:rsidRPr="00E8026E">
        <w:rPr>
          <w:rFonts w:ascii="Candara" w:hAnsi="Candara"/>
          <w:b/>
          <w:sz w:val="16"/>
          <w:szCs w:val="24"/>
        </w:rPr>
        <w:t xml:space="preserve"> </w:t>
      </w:r>
    </w:p>
    <w:p w:rsidR="00D42F40" w:rsidRPr="00E8026E" w:rsidRDefault="00D42F40" w:rsidP="00D42F40">
      <w:pPr>
        <w:spacing w:after="0"/>
        <w:ind w:right="-24"/>
        <w:jc w:val="center"/>
        <w:rPr>
          <w:rFonts w:ascii="Candara" w:hAnsi="Candara"/>
          <w:b/>
          <w:sz w:val="28"/>
          <w:szCs w:val="24"/>
        </w:rPr>
      </w:pPr>
      <w:r w:rsidRPr="00E8026E">
        <w:rPr>
          <w:rFonts w:ascii="Candara" w:hAnsi="Candara"/>
          <w:b/>
          <w:sz w:val="28"/>
          <w:szCs w:val="24"/>
        </w:rPr>
        <w:t>Sonderausstellung „</w:t>
      </w:r>
      <w:proofErr w:type="spellStart"/>
      <w:proofErr w:type="gramStart"/>
      <w:r w:rsidRPr="00E8026E">
        <w:rPr>
          <w:rFonts w:ascii="Candara" w:hAnsi="Candara"/>
          <w:b/>
          <w:sz w:val="28"/>
          <w:szCs w:val="24"/>
        </w:rPr>
        <w:t>Bergmann.Bischof.Kaiser</w:t>
      </w:r>
      <w:proofErr w:type="spellEnd"/>
      <w:proofErr w:type="gramEnd"/>
      <w:r w:rsidRPr="00E8026E">
        <w:rPr>
          <w:rFonts w:ascii="Candara" w:hAnsi="Candara"/>
          <w:b/>
          <w:sz w:val="28"/>
          <w:szCs w:val="24"/>
        </w:rPr>
        <w:t>. Des</w:t>
      </w:r>
    </w:p>
    <w:p w:rsidR="00D42F40" w:rsidRPr="00E8026E" w:rsidRDefault="00D42F40" w:rsidP="00D42F40">
      <w:pPr>
        <w:spacing w:after="0"/>
        <w:ind w:right="-24"/>
        <w:jc w:val="center"/>
        <w:rPr>
          <w:rFonts w:ascii="Candara" w:hAnsi="Candara"/>
          <w:b/>
          <w:sz w:val="28"/>
          <w:szCs w:val="24"/>
        </w:rPr>
      </w:pPr>
      <w:r w:rsidRPr="00E8026E">
        <w:rPr>
          <w:rFonts w:ascii="Candara" w:hAnsi="Candara"/>
          <w:b/>
          <w:sz w:val="28"/>
          <w:szCs w:val="24"/>
        </w:rPr>
        <w:t>Bergbaus Macht zwischen Mittelalter und Neuzeit.“</w:t>
      </w:r>
    </w:p>
    <w:bookmarkEnd w:id="0"/>
    <w:p w:rsidR="00D42F40" w:rsidRPr="00D42F40" w:rsidRDefault="00D42F40" w:rsidP="00D42F40">
      <w:pPr>
        <w:spacing w:after="0"/>
        <w:ind w:right="-24"/>
        <w:jc w:val="both"/>
        <w:rPr>
          <w:rFonts w:ascii="Candara" w:hAnsi="Candara"/>
          <w:sz w:val="10"/>
          <w:szCs w:val="24"/>
        </w:rPr>
      </w:pPr>
    </w:p>
    <w:p w:rsidR="00D42F40" w:rsidRDefault="00D42F40" w:rsidP="00D42F40">
      <w:pPr>
        <w:spacing w:after="0"/>
        <w:ind w:right="-24"/>
        <w:jc w:val="both"/>
        <w:rPr>
          <w:rFonts w:ascii="Candara" w:hAnsi="Candara"/>
          <w:sz w:val="24"/>
          <w:szCs w:val="24"/>
        </w:rPr>
      </w:pPr>
    </w:p>
    <w:p w:rsidR="00D42F40" w:rsidRPr="00D42F40" w:rsidRDefault="00D42F40" w:rsidP="00D42F40">
      <w:pPr>
        <w:spacing w:after="0"/>
        <w:ind w:right="-24"/>
        <w:jc w:val="both"/>
        <w:rPr>
          <w:rFonts w:ascii="Candara" w:hAnsi="Candara"/>
          <w:sz w:val="2"/>
          <w:szCs w:val="24"/>
        </w:rPr>
      </w:pPr>
    </w:p>
    <w:p w:rsidR="00D42F40" w:rsidRPr="00E8026E" w:rsidRDefault="00D42F40" w:rsidP="00D42F40">
      <w:pPr>
        <w:spacing w:after="0"/>
        <w:ind w:right="-24"/>
        <w:jc w:val="both"/>
        <w:rPr>
          <w:rFonts w:ascii="Candara" w:hAnsi="Candara"/>
          <w:b/>
          <w:sz w:val="28"/>
          <w:szCs w:val="24"/>
        </w:rPr>
      </w:pPr>
      <w:proofErr w:type="gramStart"/>
      <w:r w:rsidRPr="00E8026E">
        <w:rPr>
          <w:rFonts w:ascii="Candara" w:hAnsi="Candara"/>
          <w:b/>
          <w:sz w:val="28"/>
          <w:szCs w:val="24"/>
        </w:rPr>
        <w:t>BERGMANN.BISCHOF.KAISER</w:t>
      </w:r>
      <w:proofErr w:type="gramEnd"/>
      <w:r w:rsidRPr="00E8026E">
        <w:rPr>
          <w:rFonts w:ascii="Candara" w:hAnsi="Candara"/>
          <w:b/>
          <w:sz w:val="28"/>
          <w:szCs w:val="24"/>
        </w:rPr>
        <w:t xml:space="preserve"> Des Bergbaus Macht zwischen Mittelalter und Neuzeit.</w:t>
      </w:r>
    </w:p>
    <w:p w:rsidR="00D42F40" w:rsidRPr="00E8026E" w:rsidRDefault="00D42F40" w:rsidP="00D42F40">
      <w:pPr>
        <w:spacing w:after="0"/>
        <w:ind w:right="-24"/>
        <w:jc w:val="both"/>
        <w:rPr>
          <w:rFonts w:ascii="Candara" w:hAnsi="Candara"/>
          <w:sz w:val="24"/>
          <w:szCs w:val="24"/>
        </w:rPr>
      </w:pPr>
    </w:p>
    <w:p w:rsidR="00D42F40" w:rsidRPr="00E8026E" w:rsidRDefault="00D42F40" w:rsidP="00D42F40">
      <w:pPr>
        <w:spacing w:after="0"/>
        <w:ind w:right="-24"/>
        <w:jc w:val="both"/>
        <w:rPr>
          <w:rFonts w:ascii="Candara" w:hAnsi="Candara"/>
          <w:sz w:val="24"/>
          <w:szCs w:val="24"/>
        </w:rPr>
      </w:pPr>
      <w:r w:rsidRPr="00E8026E">
        <w:rPr>
          <w:rFonts w:ascii="Candara" w:hAnsi="Candara"/>
          <w:sz w:val="24"/>
          <w:szCs w:val="24"/>
        </w:rPr>
        <w:t xml:space="preserve">Sonderausstellung im Bergbau- und </w:t>
      </w:r>
      <w:proofErr w:type="spellStart"/>
      <w:r w:rsidRPr="00E8026E">
        <w:rPr>
          <w:rFonts w:ascii="Candara" w:hAnsi="Candara"/>
          <w:sz w:val="24"/>
          <w:szCs w:val="24"/>
        </w:rPr>
        <w:t>Gotikmuseum</w:t>
      </w:r>
      <w:proofErr w:type="spellEnd"/>
      <w:r w:rsidRPr="00E8026E">
        <w:rPr>
          <w:rFonts w:ascii="Candara" w:hAnsi="Candara"/>
          <w:sz w:val="24"/>
          <w:szCs w:val="24"/>
        </w:rPr>
        <w:t xml:space="preserve"> Leogang zur großen Eröffnung der Museumserweiterung am 24. Mai 2019. Dauer der Ausstellung: 2</w:t>
      </w:r>
      <w:r w:rsidR="002E0886">
        <w:rPr>
          <w:rFonts w:ascii="Candara" w:hAnsi="Candara"/>
          <w:sz w:val="24"/>
          <w:szCs w:val="24"/>
        </w:rPr>
        <w:t>5</w:t>
      </w:r>
      <w:r w:rsidRPr="00E8026E">
        <w:rPr>
          <w:rFonts w:ascii="Candara" w:hAnsi="Candara"/>
          <w:sz w:val="24"/>
          <w:szCs w:val="24"/>
        </w:rPr>
        <w:t>. Mai bis 31. Oktober 2019</w:t>
      </w:r>
      <w:r w:rsidR="002E0886">
        <w:rPr>
          <w:rFonts w:ascii="Candara" w:hAnsi="Candara"/>
          <w:sz w:val="24"/>
          <w:szCs w:val="24"/>
        </w:rPr>
        <w:t>.</w:t>
      </w:r>
    </w:p>
    <w:p w:rsidR="00D42F40" w:rsidRPr="00E8026E" w:rsidRDefault="00D42F40" w:rsidP="00D42F40">
      <w:pPr>
        <w:pStyle w:val="Listenabsatz1"/>
        <w:spacing w:after="0"/>
        <w:ind w:left="0" w:right="-24"/>
        <w:jc w:val="both"/>
        <w:rPr>
          <w:rFonts w:ascii="Candara" w:eastAsiaTheme="minorHAnsi" w:hAnsi="Candara" w:cstheme="minorBidi"/>
          <w:kern w:val="0"/>
          <w:sz w:val="10"/>
          <w:szCs w:val="10"/>
          <w:lang w:eastAsia="en-US"/>
        </w:rPr>
      </w:pPr>
    </w:p>
    <w:p w:rsidR="00D42F40" w:rsidRPr="00E8026E" w:rsidRDefault="00D42F40" w:rsidP="00D42F40">
      <w:pPr>
        <w:spacing w:after="0"/>
        <w:ind w:right="-24"/>
        <w:jc w:val="both"/>
        <w:rPr>
          <w:rFonts w:ascii="Candara" w:hAnsi="Candara"/>
          <w:sz w:val="24"/>
          <w:szCs w:val="24"/>
        </w:rPr>
      </w:pPr>
      <w:r w:rsidRPr="00E8026E">
        <w:rPr>
          <w:rFonts w:ascii="Candara" w:hAnsi="Candara"/>
          <w:sz w:val="24"/>
          <w:szCs w:val="24"/>
        </w:rPr>
        <w:t xml:space="preserve">Im 1. Stock vom Thurnhaus wollen wir einen ganz besonderen Synergieeffekt </w:t>
      </w:r>
      <w:bookmarkStart w:id="1" w:name="_GoBack"/>
      <w:bookmarkEnd w:id="1"/>
      <w:r w:rsidRPr="00E8026E">
        <w:rPr>
          <w:rFonts w:ascii="Candara" w:hAnsi="Candara"/>
          <w:sz w:val="24"/>
          <w:szCs w:val="24"/>
        </w:rPr>
        <w:t xml:space="preserve">veranschaulichen: Die kunst- und wirtschaftshistorischen Beziehungen zwischen Kaiser Maximilian und dem Bergbau: „Das KAISERZIMMER“. Dieses Projekt fügt sich als weiterer Baustein ein in unser langjähriges Ausstellungskonzept, welches unter dem Motto „Blühender Bergbau = Blühende Kunst“ steht.  </w:t>
      </w:r>
    </w:p>
    <w:p w:rsidR="00D42F40" w:rsidRPr="00E8026E" w:rsidRDefault="00D42F40" w:rsidP="00D42F40">
      <w:pPr>
        <w:pStyle w:val="Listenabsatz1"/>
        <w:spacing w:after="0"/>
        <w:ind w:left="0" w:right="-24"/>
        <w:jc w:val="both"/>
        <w:rPr>
          <w:rFonts w:ascii="Candara" w:eastAsiaTheme="minorHAnsi" w:hAnsi="Candara" w:cstheme="minorBidi"/>
          <w:kern w:val="0"/>
          <w:sz w:val="10"/>
          <w:szCs w:val="10"/>
          <w:lang w:eastAsia="en-US"/>
        </w:rPr>
      </w:pPr>
    </w:p>
    <w:p w:rsidR="00D42F40" w:rsidRPr="00E8026E" w:rsidRDefault="00D42F40" w:rsidP="00D42F40">
      <w:pPr>
        <w:spacing w:after="0"/>
        <w:ind w:right="-24"/>
        <w:jc w:val="both"/>
        <w:rPr>
          <w:rFonts w:ascii="Candara" w:hAnsi="Candara"/>
          <w:sz w:val="24"/>
          <w:szCs w:val="24"/>
        </w:rPr>
      </w:pPr>
      <w:r w:rsidRPr="00E8026E">
        <w:rPr>
          <w:rFonts w:ascii="Candara" w:hAnsi="Candara"/>
          <w:sz w:val="24"/>
          <w:szCs w:val="24"/>
        </w:rPr>
        <w:t xml:space="preserve">Den Ausgangspunkt dieser Ausstellungsidee markiert der Ankauf einer wunderbaren Gebetsnuss, gefertigt aus Buchsbaumholz, um 1500. </w:t>
      </w:r>
    </w:p>
    <w:p w:rsidR="00D42F40" w:rsidRPr="00E8026E" w:rsidRDefault="00D42F40" w:rsidP="00D42F40">
      <w:pPr>
        <w:pStyle w:val="Listenabsatz1"/>
        <w:spacing w:after="0"/>
        <w:ind w:left="0" w:right="-24"/>
        <w:jc w:val="both"/>
        <w:rPr>
          <w:rFonts w:ascii="Candara" w:eastAsiaTheme="minorHAnsi" w:hAnsi="Candara" w:cstheme="minorBidi"/>
          <w:kern w:val="0"/>
          <w:sz w:val="10"/>
          <w:szCs w:val="10"/>
          <w:lang w:eastAsia="en-US"/>
        </w:rPr>
      </w:pPr>
    </w:p>
    <w:p w:rsidR="00D42F40" w:rsidRPr="00E8026E" w:rsidRDefault="00D42F40" w:rsidP="00D42F40">
      <w:pPr>
        <w:spacing w:after="0"/>
        <w:jc w:val="both"/>
        <w:rPr>
          <w:rFonts w:ascii="Candara" w:hAnsi="Candara"/>
          <w:sz w:val="24"/>
          <w:szCs w:val="24"/>
        </w:rPr>
      </w:pPr>
      <w:r w:rsidRPr="00E8026E">
        <w:rPr>
          <w:rFonts w:ascii="Candara" w:hAnsi="Candara"/>
          <w:sz w:val="24"/>
          <w:szCs w:val="24"/>
        </w:rPr>
        <w:t xml:space="preserve">Dieses Exponat in seiner erzählerischen Erscheinung, als Mittelpunkt der Ausstellung, ermöglicht einen wirtschaftshistorischen Blick auf eine Welt im Wandel und auf dem Weg in eine „neue Zeit“. </w:t>
      </w:r>
    </w:p>
    <w:p w:rsidR="00D42F40" w:rsidRPr="00E8026E" w:rsidRDefault="00D42F40" w:rsidP="00D42F40">
      <w:pPr>
        <w:pStyle w:val="Listenabsatz1"/>
        <w:spacing w:after="0"/>
        <w:ind w:left="0"/>
        <w:jc w:val="both"/>
        <w:rPr>
          <w:rFonts w:ascii="Candara" w:eastAsiaTheme="minorHAnsi" w:hAnsi="Candara" w:cstheme="minorBidi"/>
          <w:kern w:val="0"/>
          <w:sz w:val="10"/>
          <w:szCs w:val="10"/>
          <w:lang w:eastAsia="en-US"/>
        </w:rPr>
      </w:pPr>
    </w:p>
    <w:p w:rsidR="00D42F40" w:rsidRPr="00E8026E" w:rsidRDefault="00D42F40" w:rsidP="00D42F40">
      <w:pPr>
        <w:pStyle w:val="Listenabsatz1"/>
        <w:spacing w:after="0"/>
        <w:ind w:left="0"/>
        <w:jc w:val="both"/>
        <w:rPr>
          <w:rFonts w:ascii="Candara" w:eastAsiaTheme="minorHAnsi" w:hAnsi="Candara" w:cstheme="minorBidi"/>
          <w:kern w:val="0"/>
          <w:sz w:val="24"/>
          <w:szCs w:val="24"/>
          <w:lang w:eastAsia="en-US"/>
        </w:rPr>
      </w:pPr>
      <w:r w:rsidRPr="00E8026E">
        <w:rPr>
          <w:rFonts w:ascii="Candara" w:eastAsiaTheme="minorHAnsi" w:hAnsi="Candara" w:cstheme="minorBidi"/>
          <w:kern w:val="0"/>
          <w:sz w:val="24"/>
          <w:szCs w:val="24"/>
          <w:lang w:eastAsia="en-US"/>
        </w:rPr>
        <w:t xml:space="preserve">Die weitgreifenden Beziehungen der Salzburger Erzbischöfe zu Kaiser Maximilian I. werden stark vom Silberbergbau, der auch im mittelalterlichen Leogang zu finden ist, beeinflusst.  So erfährt der Bergbau im historischen Europa um 1500 eine Phase der Hochkonjunktur. </w:t>
      </w:r>
    </w:p>
    <w:p w:rsidR="00D42F40" w:rsidRPr="00E8026E" w:rsidRDefault="00D42F40" w:rsidP="00D42F40">
      <w:pPr>
        <w:pStyle w:val="Listenabsatz1"/>
        <w:spacing w:after="0"/>
        <w:ind w:left="0"/>
        <w:jc w:val="both"/>
        <w:rPr>
          <w:rFonts w:ascii="Candara" w:eastAsiaTheme="minorHAnsi" w:hAnsi="Candara" w:cstheme="minorBidi"/>
          <w:kern w:val="0"/>
          <w:sz w:val="10"/>
          <w:szCs w:val="10"/>
          <w:lang w:eastAsia="en-US"/>
        </w:rPr>
      </w:pPr>
    </w:p>
    <w:p w:rsidR="00D42F40" w:rsidRPr="00E8026E" w:rsidRDefault="00D42F40" w:rsidP="00D42F40">
      <w:pPr>
        <w:pStyle w:val="Listenabsatz1"/>
        <w:spacing w:after="0"/>
        <w:ind w:left="0"/>
        <w:jc w:val="both"/>
        <w:rPr>
          <w:rFonts w:ascii="Candara" w:eastAsiaTheme="minorHAnsi" w:hAnsi="Candara" w:cstheme="minorBidi"/>
          <w:kern w:val="0"/>
          <w:lang w:eastAsia="en-US"/>
        </w:rPr>
      </w:pPr>
      <w:r w:rsidRPr="00E8026E">
        <w:rPr>
          <w:rFonts w:ascii="Candara" w:eastAsiaTheme="minorHAnsi" w:hAnsi="Candara" w:cstheme="minorBidi"/>
          <w:kern w:val="0"/>
          <w:sz w:val="24"/>
          <w:szCs w:val="24"/>
          <w:lang w:eastAsia="en-US"/>
        </w:rPr>
        <w:t xml:space="preserve">Diese Ausstellung im Thurnhaus soll zeigen, mit welch diplomatischem Geschick in der frühen Neuzeit Synergien zwischen Adel, Klerus und Bürgertum entstanden sind, um Macht und Ruhm aller Beteiligten zu sichern. </w:t>
      </w:r>
    </w:p>
    <w:p w:rsidR="00D42F40" w:rsidRPr="00D42F40" w:rsidRDefault="00D42F40" w:rsidP="00D42F40">
      <w:pPr>
        <w:pStyle w:val="Listenabsatz1"/>
        <w:spacing w:after="0"/>
        <w:ind w:left="0"/>
        <w:jc w:val="both"/>
        <w:rPr>
          <w:rFonts w:ascii="Candara" w:eastAsiaTheme="minorHAnsi" w:hAnsi="Candara" w:cstheme="minorBidi"/>
          <w:kern w:val="0"/>
          <w:sz w:val="14"/>
          <w:lang w:eastAsia="en-US"/>
        </w:rPr>
      </w:pPr>
    </w:p>
    <w:p w:rsidR="00D42F40" w:rsidRPr="00E8026E" w:rsidRDefault="00D42F40" w:rsidP="00D42F40">
      <w:pPr>
        <w:spacing w:after="0"/>
        <w:jc w:val="both"/>
        <w:rPr>
          <w:rFonts w:ascii="Candara" w:hAnsi="Candara"/>
        </w:rPr>
      </w:pPr>
    </w:p>
    <w:p w:rsidR="00D42F40" w:rsidRPr="00E8026E" w:rsidRDefault="00D42F40" w:rsidP="00D42F40">
      <w:pPr>
        <w:spacing w:after="0"/>
        <w:jc w:val="both"/>
        <w:rPr>
          <w:rFonts w:ascii="Candara" w:hAnsi="Candara"/>
          <w:b/>
          <w:sz w:val="28"/>
          <w:szCs w:val="24"/>
          <w:lang w:val="en-GB"/>
        </w:rPr>
      </w:pPr>
      <w:bookmarkStart w:id="2" w:name="_Hlk532563928"/>
      <w:r w:rsidRPr="00F5285B">
        <w:rPr>
          <w:rFonts w:ascii="Candara" w:hAnsi="Candara"/>
          <w:b/>
          <w:sz w:val="28"/>
          <w:szCs w:val="24"/>
          <w:lang w:val="en-GB"/>
        </w:rPr>
        <w:t xml:space="preserve">Miner. Bishop. Emperor. </w:t>
      </w:r>
      <w:r w:rsidRPr="00E8026E">
        <w:rPr>
          <w:rFonts w:ascii="Candara" w:hAnsi="Candara"/>
          <w:b/>
          <w:sz w:val="28"/>
          <w:szCs w:val="24"/>
          <w:lang w:val="en-GB"/>
        </w:rPr>
        <w:t>The force of the mining industry at the late medieval.</w:t>
      </w:r>
    </w:p>
    <w:p w:rsidR="00D42F40" w:rsidRPr="00E8026E" w:rsidRDefault="00D42F40" w:rsidP="00D42F40">
      <w:pPr>
        <w:spacing w:after="0"/>
        <w:jc w:val="both"/>
        <w:rPr>
          <w:rFonts w:ascii="Candara" w:hAnsi="Candara"/>
          <w:sz w:val="24"/>
          <w:szCs w:val="24"/>
          <w:lang w:val="en-GB"/>
        </w:rPr>
      </w:pPr>
    </w:p>
    <w:p w:rsidR="00D42F40" w:rsidRPr="00E8026E" w:rsidRDefault="00D42F40" w:rsidP="00D42F40">
      <w:pPr>
        <w:pStyle w:val="Listenabsatz1"/>
        <w:spacing w:after="0"/>
        <w:ind w:left="0"/>
        <w:jc w:val="both"/>
        <w:rPr>
          <w:rFonts w:ascii="Candara" w:eastAsiaTheme="minorHAnsi" w:hAnsi="Candara" w:cstheme="minorBidi"/>
          <w:kern w:val="0"/>
          <w:lang w:val="en-GB" w:eastAsia="en-US"/>
        </w:rPr>
      </w:pPr>
      <w:r w:rsidRPr="00E8026E">
        <w:rPr>
          <w:rFonts w:ascii="Candara" w:eastAsiaTheme="minorHAnsi" w:hAnsi="Candara" w:cstheme="minorBidi"/>
          <w:kern w:val="0"/>
          <w:lang w:val="en-GB" w:eastAsia="en-US"/>
        </w:rPr>
        <w:t xml:space="preserve">After the purchase of an admirable carved wooden ball, made of boxwood around 1500, we decide to create an exhibition. This exhibit is the central of this exposition an enables us to have a clear view to the earlier economic situation. </w:t>
      </w:r>
    </w:p>
    <w:p w:rsidR="00D42F40" w:rsidRPr="00E8026E" w:rsidRDefault="00D42F40" w:rsidP="00D42F40">
      <w:pPr>
        <w:pStyle w:val="Listenabsatz1"/>
        <w:spacing w:after="0"/>
        <w:ind w:left="0"/>
        <w:jc w:val="both"/>
        <w:rPr>
          <w:rFonts w:ascii="Candara" w:eastAsiaTheme="minorHAnsi" w:hAnsi="Candara" w:cstheme="minorBidi"/>
          <w:kern w:val="0"/>
          <w:lang w:val="en-GB" w:eastAsia="en-US"/>
        </w:rPr>
      </w:pPr>
    </w:p>
    <w:p w:rsidR="00D42F40" w:rsidRPr="00E8026E" w:rsidRDefault="00D42F40" w:rsidP="00D42F40">
      <w:pPr>
        <w:pStyle w:val="Listenabsatz1"/>
        <w:spacing w:after="0"/>
        <w:ind w:left="0"/>
        <w:jc w:val="both"/>
        <w:rPr>
          <w:rFonts w:ascii="Candara" w:eastAsiaTheme="minorHAnsi" w:hAnsi="Candara" w:cstheme="minorBidi"/>
          <w:kern w:val="0"/>
          <w:lang w:val="en-GB" w:eastAsia="en-US"/>
        </w:rPr>
      </w:pPr>
      <w:r w:rsidRPr="00E8026E">
        <w:rPr>
          <w:rFonts w:ascii="Candara" w:eastAsiaTheme="minorHAnsi" w:hAnsi="Candara" w:cstheme="minorBidi"/>
          <w:kern w:val="0"/>
          <w:lang w:val="en-GB" w:eastAsia="en-US"/>
        </w:rPr>
        <w:t xml:space="preserve">The relations of the archbishops of Salzburg to the emperor Maximilian I are influenced by the silver mining industry, which experienced in 1500 a boom all over Europe. </w:t>
      </w:r>
    </w:p>
    <w:p w:rsidR="00D42F40" w:rsidRPr="00E8026E" w:rsidRDefault="00D42F40" w:rsidP="00D42F40">
      <w:pPr>
        <w:pStyle w:val="Listenabsatz1"/>
        <w:spacing w:after="0"/>
        <w:ind w:left="0"/>
        <w:jc w:val="both"/>
        <w:rPr>
          <w:rFonts w:ascii="Candara" w:eastAsiaTheme="minorHAnsi" w:hAnsi="Candara" w:cstheme="minorBidi"/>
          <w:kern w:val="0"/>
          <w:lang w:val="en-GB" w:eastAsia="en-US"/>
        </w:rPr>
      </w:pPr>
    </w:p>
    <w:p w:rsidR="00D42F40" w:rsidRPr="00D42F40" w:rsidRDefault="00D42F40" w:rsidP="00D42F40">
      <w:pPr>
        <w:pStyle w:val="Listenabsatz1"/>
        <w:spacing w:after="0"/>
        <w:ind w:left="0"/>
        <w:jc w:val="both"/>
        <w:rPr>
          <w:rFonts w:ascii="Candara" w:eastAsiaTheme="minorHAnsi" w:hAnsi="Candara" w:cstheme="minorBidi"/>
          <w:kern w:val="0"/>
          <w:lang w:val="en-GB" w:eastAsia="en-US"/>
        </w:rPr>
      </w:pPr>
      <w:r w:rsidRPr="00E8026E">
        <w:rPr>
          <w:rFonts w:ascii="Candara" w:eastAsiaTheme="minorHAnsi" w:hAnsi="Candara" w:cstheme="minorBidi"/>
          <w:kern w:val="0"/>
          <w:lang w:val="en-GB" w:eastAsia="en-US"/>
        </w:rPr>
        <w:t>You´ll see, how the former nobility, the clergy and the citizens cooperate to ensure the power and glory of the entire population.</w:t>
      </w:r>
      <w:bookmarkEnd w:id="2"/>
    </w:p>
    <w:p w:rsidR="002E0886" w:rsidRDefault="00D42F40" w:rsidP="002E0886">
      <w:pPr>
        <w:spacing w:after="0"/>
        <w:jc w:val="center"/>
        <w:rPr>
          <w:rFonts w:ascii="Candara" w:hAnsi="Candara"/>
          <w:b/>
          <w:sz w:val="28"/>
          <w:szCs w:val="24"/>
        </w:rPr>
      </w:pPr>
      <w:r w:rsidRPr="00E8026E">
        <w:rPr>
          <w:rFonts w:ascii="Candara" w:hAnsi="Candara"/>
          <w:b/>
          <w:sz w:val="28"/>
          <w:szCs w:val="24"/>
        </w:rPr>
        <w:lastRenderedPageBreak/>
        <w:t xml:space="preserve">Die Exponate für diese Ausstellung im Bergbau- und </w:t>
      </w:r>
      <w:proofErr w:type="spellStart"/>
      <w:r w:rsidRPr="00E8026E">
        <w:rPr>
          <w:rFonts w:ascii="Candara" w:hAnsi="Candara"/>
          <w:b/>
          <w:sz w:val="28"/>
          <w:szCs w:val="24"/>
        </w:rPr>
        <w:t>Gotikmuseum</w:t>
      </w:r>
      <w:proofErr w:type="spellEnd"/>
      <w:r w:rsidRPr="00E8026E">
        <w:rPr>
          <w:rFonts w:ascii="Candara" w:hAnsi="Candara"/>
          <w:b/>
          <w:sz w:val="28"/>
          <w:szCs w:val="24"/>
        </w:rPr>
        <w:t xml:space="preserve"> </w:t>
      </w:r>
    </w:p>
    <w:p w:rsidR="00D42F40" w:rsidRDefault="00D42F40" w:rsidP="002E0886">
      <w:pPr>
        <w:spacing w:after="0"/>
        <w:jc w:val="center"/>
        <w:rPr>
          <w:rFonts w:ascii="Candara" w:hAnsi="Candara"/>
          <w:b/>
          <w:sz w:val="28"/>
          <w:szCs w:val="24"/>
        </w:rPr>
      </w:pPr>
      <w:r w:rsidRPr="00E8026E">
        <w:rPr>
          <w:rFonts w:ascii="Candara" w:hAnsi="Candara"/>
          <w:b/>
          <w:sz w:val="28"/>
          <w:szCs w:val="24"/>
        </w:rPr>
        <w:t xml:space="preserve">Leogang </w:t>
      </w:r>
      <w:proofErr w:type="gramStart"/>
      <w:r w:rsidRPr="00E8026E">
        <w:rPr>
          <w:rFonts w:ascii="Candara" w:hAnsi="Candara"/>
          <w:b/>
          <w:sz w:val="28"/>
          <w:szCs w:val="24"/>
        </w:rPr>
        <w:t>stammen</w:t>
      </w:r>
      <w:proofErr w:type="gramEnd"/>
      <w:r w:rsidRPr="00E8026E">
        <w:rPr>
          <w:rFonts w:ascii="Candara" w:hAnsi="Candara"/>
          <w:b/>
          <w:sz w:val="28"/>
          <w:szCs w:val="24"/>
        </w:rPr>
        <w:t xml:space="preserve"> von folgenden Museen und Leihgebern:</w:t>
      </w:r>
    </w:p>
    <w:p w:rsidR="00D42F40" w:rsidRPr="00E8026E" w:rsidRDefault="00D42F40" w:rsidP="00D42F40">
      <w:pPr>
        <w:spacing w:after="0"/>
        <w:jc w:val="center"/>
        <w:rPr>
          <w:rFonts w:ascii="Candara" w:hAnsi="Candara"/>
          <w:b/>
          <w:sz w:val="28"/>
          <w:szCs w:val="24"/>
        </w:rPr>
      </w:pPr>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r w:rsidRPr="00E8026E">
        <w:rPr>
          <w:rFonts w:ascii="Candara" w:eastAsiaTheme="minorHAnsi" w:hAnsi="Candara" w:cstheme="minorBidi"/>
          <w:kern w:val="0"/>
          <w:lang w:eastAsia="en-US"/>
        </w:rPr>
        <w:t>Hofburg Brixen</w:t>
      </w:r>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r w:rsidRPr="00E8026E">
        <w:rPr>
          <w:rFonts w:ascii="Candara" w:eastAsiaTheme="minorHAnsi" w:hAnsi="Candara" w:cstheme="minorBidi"/>
          <w:kern w:val="0"/>
          <w:lang w:eastAsia="en-US"/>
        </w:rPr>
        <w:t>Dommuseum Salzburg</w:t>
      </w:r>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r w:rsidRPr="00E8026E">
        <w:rPr>
          <w:rFonts w:ascii="Candara" w:eastAsiaTheme="minorHAnsi" w:hAnsi="Candara" w:cstheme="minorBidi"/>
          <w:kern w:val="0"/>
          <w:lang w:eastAsia="en-US"/>
        </w:rPr>
        <w:t>Geldmuseum der Österreichischen Nationalbank</w:t>
      </w:r>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r w:rsidRPr="00E8026E">
        <w:rPr>
          <w:rFonts w:ascii="Candara" w:eastAsiaTheme="minorHAnsi" w:hAnsi="Candara" w:cstheme="minorBidi"/>
          <w:kern w:val="0"/>
          <w:lang w:eastAsia="en-US"/>
        </w:rPr>
        <w:t>Kuno Mayer</w:t>
      </w:r>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r w:rsidRPr="00E8026E">
        <w:rPr>
          <w:rFonts w:ascii="Candara" w:eastAsiaTheme="minorHAnsi" w:hAnsi="Candara" w:cstheme="minorBidi"/>
          <w:kern w:val="0"/>
          <w:lang w:eastAsia="en-US"/>
        </w:rPr>
        <w:t>Salinen Austria AG</w:t>
      </w:r>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r w:rsidRPr="00E8026E">
        <w:rPr>
          <w:rFonts w:ascii="Candara" w:eastAsiaTheme="minorHAnsi" w:hAnsi="Candara" w:cstheme="minorBidi"/>
          <w:kern w:val="0"/>
          <w:lang w:eastAsia="en-US"/>
        </w:rPr>
        <w:t>Salzburg Museum</w:t>
      </w:r>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proofErr w:type="spellStart"/>
      <w:r w:rsidRPr="00E8026E">
        <w:rPr>
          <w:rFonts w:ascii="Candara" w:eastAsiaTheme="minorHAnsi" w:hAnsi="Candara" w:cstheme="minorBidi"/>
          <w:kern w:val="0"/>
          <w:lang w:eastAsia="en-US"/>
        </w:rPr>
        <w:t>Senningerbräu</w:t>
      </w:r>
      <w:proofErr w:type="spellEnd"/>
      <w:r w:rsidRPr="00E8026E">
        <w:rPr>
          <w:rFonts w:ascii="Candara" w:eastAsiaTheme="minorHAnsi" w:hAnsi="Candara" w:cstheme="minorBidi"/>
          <w:kern w:val="0"/>
          <w:lang w:eastAsia="en-US"/>
        </w:rPr>
        <w:t xml:space="preserve"> </w:t>
      </w:r>
      <w:proofErr w:type="spellStart"/>
      <w:r w:rsidRPr="00E8026E">
        <w:rPr>
          <w:rFonts w:ascii="Candara" w:eastAsiaTheme="minorHAnsi" w:hAnsi="Candara" w:cstheme="minorBidi"/>
          <w:kern w:val="0"/>
          <w:lang w:eastAsia="en-US"/>
        </w:rPr>
        <w:t>Bramberg</w:t>
      </w:r>
      <w:proofErr w:type="spellEnd"/>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r w:rsidRPr="00E8026E">
        <w:rPr>
          <w:rFonts w:ascii="Candara" w:eastAsiaTheme="minorHAnsi" w:hAnsi="Candara" w:cstheme="minorBidi"/>
          <w:kern w:val="0"/>
          <w:lang w:eastAsia="en-US"/>
        </w:rPr>
        <w:t>Universitätsbibliothek Salzburg</w:t>
      </w:r>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r w:rsidRPr="00E8026E">
        <w:rPr>
          <w:rFonts w:ascii="Candara" w:eastAsiaTheme="minorHAnsi" w:hAnsi="Candara" w:cstheme="minorBidi"/>
          <w:kern w:val="0"/>
          <w:lang w:eastAsia="en-US"/>
        </w:rPr>
        <w:t>Frau Dr. Sylvia Schuster</w:t>
      </w:r>
    </w:p>
    <w:p w:rsidR="00D42F40" w:rsidRPr="00E8026E" w:rsidRDefault="00D42F40" w:rsidP="00D42F40">
      <w:pPr>
        <w:pStyle w:val="Listenabsatz1"/>
        <w:numPr>
          <w:ilvl w:val="0"/>
          <w:numId w:val="1"/>
        </w:numPr>
        <w:spacing w:after="0" w:line="259" w:lineRule="auto"/>
        <w:ind w:left="0"/>
        <w:jc w:val="both"/>
        <w:rPr>
          <w:rFonts w:ascii="Candara" w:eastAsiaTheme="minorHAnsi" w:hAnsi="Candara" w:cstheme="minorBidi"/>
          <w:kern w:val="0"/>
          <w:lang w:eastAsia="en-US"/>
        </w:rPr>
      </w:pPr>
      <w:r w:rsidRPr="00E8026E">
        <w:rPr>
          <w:rFonts w:ascii="Candara" w:eastAsiaTheme="minorHAnsi" w:hAnsi="Candara" w:cstheme="minorBidi"/>
          <w:kern w:val="0"/>
          <w:lang w:eastAsia="en-US"/>
        </w:rPr>
        <w:t xml:space="preserve">Bergbau- und </w:t>
      </w:r>
      <w:proofErr w:type="spellStart"/>
      <w:r w:rsidRPr="00E8026E">
        <w:rPr>
          <w:rFonts w:ascii="Candara" w:eastAsiaTheme="minorHAnsi" w:hAnsi="Candara" w:cstheme="minorBidi"/>
          <w:kern w:val="0"/>
          <w:lang w:eastAsia="en-US"/>
        </w:rPr>
        <w:t>Gotikmuseum</w:t>
      </w:r>
      <w:proofErr w:type="spellEnd"/>
      <w:r w:rsidRPr="00E8026E">
        <w:rPr>
          <w:rFonts w:ascii="Candara" w:eastAsiaTheme="minorHAnsi" w:hAnsi="Candara" w:cstheme="minorBidi"/>
          <w:kern w:val="0"/>
          <w:lang w:eastAsia="en-US"/>
        </w:rPr>
        <w:t xml:space="preserve"> Leogang</w:t>
      </w:r>
    </w:p>
    <w:p w:rsidR="00D42F40" w:rsidRPr="00E8026E" w:rsidRDefault="00D42F40" w:rsidP="00D42F40">
      <w:pPr>
        <w:pStyle w:val="Listenabsatz1"/>
        <w:spacing w:after="0"/>
        <w:ind w:left="0"/>
        <w:jc w:val="both"/>
        <w:rPr>
          <w:rFonts w:ascii="Candara" w:eastAsiaTheme="minorHAnsi" w:hAnsi="Candara" w:cstheme="minorBidi"/>
          <w:kern w:val="0"/>
          <w:lang w:eastAsia="en-US"/>
        </w:rPr>
      </w:pPr>
    </w:p>
    <w:p w:rsidR="00D42F40" w:rsidRPr="00E8026E" w:rsidRDefault="00D42F40" w:rsidP="00D42F40">
      <w:pPr>
        <w:pStyle w:val="Listenabsatz1"/>
        <w:spacing w:after="0"/>
        <w:ind w:left="0"/>
        <w:jc w:val="both"/>
        <w:rPr>
          <w:rFonts w:ascii="Candara" w:eastAsiaTheme="minorHAnsi" w:hAnsi="Candara" w:cstheme="minorBidi"/>
          <w:kern w:val="0"/>
          <w:lang w:eastAsia="en-US"/>
        </w:rPr>
      </w:pPr>
    </w:p>
    <w:p w:rsidR="00CD4BEE" w:rsidRPr="00D42F40" w:rsidRDefault="00CD4BEE" w:rsidP="00D42F40"/>
    <w:sectPr w:rsidR="00CD4BEE" w:rsidRPr="00D42F40" w:rsidSect="00BB33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A3765"/>
    <w:multiLevelType w:val="hybridMultilevel"/>
    <w:tmpl w:val="C6146F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B9"/>
    <w:rsid w:val="000365A0"/>
    <w:rsid w:val="002E0886"/>
    <w:rsid w:val="002F079A"/>
    <w:rsid w:val="00320DF9"/>
    <w:rsid w:val="004733DA"/>
    <w:rsid w:val="0050789C"/>
    <w:rsid w:val="005D63B9"/>
    <w:rsid w:val="007D4769"/>
    <w:rsid w:val="008E7908"/>
    <w:rsid w:val="008F3C75"/>
    <w:rsid w:val="00B63DF2"/>
    <w:rsid w:val="00BB33A1"/>
    <w:rsid w:val="00C619A5"/>
    <w:rsid w:val="00CD4BEE"/>
    <w:rsid w:val="00D42F40"/>
    <w:rsid w:val="00D46D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E803"/>
  <w15:chartTrackingRefBased/>
  <w15:docId w15:val="{717B37B6-2CDB-4CCF-934B-AF014815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2F40"/>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2F079A"/>
    <w:pPr>
      <w:suppressAutoHyphens/>
      <w:ind w:left="720"/>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Museum02</dc:creator>
  <cp:keywords/>
  <dc:description/>
  <cp:lastModifiedBy>Museum02</cp:lastModifiedBy>
  <cp:revision>4</cp:revision>
  <cp:lastPrinted>2018-11-28T10:09:00Z</cp:lastPrinted>
  <dcterms:created xsi:type="dcterms:W3CDTF">2018-12-20T08:05:00Z</dcterms:created>
  <dcterms:modified xsi:type="dcterms:W3CDTF">2018-12-21T13:45:00Z</dcterms:modified>
</cp:coreProperties>
</file>